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морфология человека</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морфология человека»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«Анатомия и морфология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морфология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«Анатомия и морфология человека»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Генетика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1.31518"/>
        </w:trPr>
        <w:tc>
          <w:tcPr>
            <w:tcW w:w="9640" w:type="dxa"/>
          </w:tcPr>
          <w:p/>
        </w:tc>
      </w:tr>
      <w:tr>
        <w:trPr>
          <w:trHeight w:hRule="exact" w:val="654.5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left"/>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left"/>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left"/>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left"/>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left"/>
              <w:spacing w:after="0" w:line="240" w:lineRule="auto"/>
              <w:rPr>
                <w:sz w:val="24"/>
                <w:szCs w:val="24"/>
              </w:rPr>
            </w:pPr>
            <w:r>
              <w:rPr>
                <w:rFonts w:ascii="Times New Roman" w:hAnsi="Times New Roman" w:cs="Times New Roman"/>
                <w:color w:val="#000000"/>
                <w:sz w:val="24"/>
                <w:szCs w:val="24"/>
              </w:rPr>
              <w:t> 1.Скелет головы</w:t>
            </w:r>
          </w:p>
          <w:p>
            <w:pPr>
              <w:jc w:val="left"/>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left"/>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p>
            <w:pPr>
              <w:jc w:val="left"/>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left"/>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морфология человека»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47.9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2023-2024_ФГОС3++2023_Бак-ЗФО-ПО(БО)(23)_plx_Анатомия и морфология человека</dc:title>
  <dc:creator>FastReport.NET</dc:creator>
</cp:coreProperties>
</file>